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5C" w:rsidRDefault="00F5305C" w:rsidP="00F5305C">
      <w:pPr>
        <w:snapToGrid w:val="0"/>
        <w:spacing w:line="576" w:lineRule="exact"/>
        <w:rPr>
          <w:rFonts w:ascii="方正黑体_GBK" w:eastAsia="方正黑体_GBK" w:hAnsi="仿宋_GB2312" w:cs="仿宋_GB2312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t>附件2</w:t>
      </w:r>
    </w:p>
    <w:p w:rsidR="00F5305C" w:rsidRDefault="00F5305C" w:rsidP="00F5305C">
      <w:pPr>
        <w:pStyle w:val="2"/>
        <w:rPr>
          <w:rFonts w:ascii="Calibri" w:hAnsi="Calibri" w:hint="eastAsia"/>
        </w:rPr>
      </w:pPr>
    </w:p>
    <w:p w:rsidR="00F5305C" w:rsidRDefault="00F5305C" w:rsidP="00F5305C">
      <w:pPr>
        <w:spacing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消防车通道标识要求及示例</w:t>
      </w:r>
    </w:p>
    <w:p w:rsidR="00F5305C" w:rsidRDefault="00F5305C" w:rsidP="00F5305C">
      <w:pPr>
        <w:snapToGrid w:val="0"/>
        <w:spacing w:line="54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:rsidR="00F5305C" w:rsidRDefault="00F5305C" w:rsidP="00F5305C">
      <w:pPr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根据《中华人民共和国消防法》《中华人民共和国道路交通安全法》和国家标准《道路交通标志和标线》（</w:t>
      </w:r>
      <w:r>
        <w:rPr>
          <w:rFonts w:ascii="Times New Roman" w:eastAsia="方正仿宋_GBK" w:hAnsi="Times New Roman"/>
          <w:sz w:val="32"/>
          <w:szCs w:val="32"/>
        </w:rPr>
        <w:t>GB 5768</w:t>
      </w:r>
      <w:r>
        <w:rPr>
          <w:rFonts w:ascii="Times New Roman" w:eastAsia="方正仿宋_GBK" w:hAnsi="Times New Roman" w:hint="eastAsia"/>
          <w:sz w:val="32"/>
          <w:szCs w:val="32"/>
        </w:rPr>
        <w:t>）的有关规定，对单位或者住宅区内的消防车通道沿途实行标志和标线标识管理。</w:t>
      </w:r>
    </w:p>
    <w:p w:rsidR="00F5305C" w:rsidRDefault="00F5305C" w:rsidP="00F5305C">
      <w:pPr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在消防车通道路侧缘石立面和顶面应当施划黄色禁止停车标线；无缘石的道路应当在路面上施划禁止停车标线，标线为黄色单实线，距路面边缘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 w:hint="eastAsia"/>
          <w:sz w:val="32"/>
          <w:szCs w:val="32"/>
        </w:rPr>
        <w:t>厘米，线宽</w:t>
      </w: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 w:hint="eastAsia"/>
          <w:sz w:val="32"/>
          <w:szCs w:val="32"/>
        </w:rPr>
        <w:t>厘米；消防车通道沿途每隔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米距离在路面中央施划黄色方框线，在方框内沿行车方向标注内容为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消防车道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禁止占用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sz w:val="32"/>
          <w:szCs w:val="32"/>
        </w:rPr>
        <w:t>的警示字样（示例见图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）。</w:t>
      </w:r>
    </w:p>
    <w:p w:rsidR="00F5305C" w:rsidRDefault="00F5305C" w:rsidP="00F5305C">
      <w:pPr>
        <w:snapToGrid w:val="0"/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40005</wp:posOffset>
            </wp:positionV>
            <wp:extent cx="4810760" cy="2886710"/>
            <wp:effectExtent l="19050" t="0" r="8890" b="0"/>
            <wp:wrapNone/>
            <wp:docPr id="2" name="图片 1" descr="说明: mmexport157667182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mmexport15766718210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288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305C" w:rsidRDefault="00F5305C" w:rsidP="00F5305C">
      <w:pPr>
        <w:spacing w:after="120" w:line="500" w:lineRule="exact"/>
        <w:jc w:val="center"/>
        <w:rPr>
          <w:rFonts w:ascii="黑体" w:eastAsia="黑体" w:hAnsi="黑体" w:cs="黑体" w:hint="eastAsia"/>
          <w:szCs w:val="24"/>
        </w:rPr>
      </w:pPr>
      <w:r>
        <w:rPr>
          <w:rFonts w:ascii="黑体" w:eastAsia="黑体" w:hAnsi="黑体" w:cs="黑体" w:hint="eastAsia"/>
        </w:rPr>
        <w:t>图1：消防车通道路侧禁停标线及路面警示标志示例</w:t>
      </w:r>
    </w:p>
    <w:p w:rsidR="00F5305C" w:rsidRDefault="00F5305C" w:rsidP="00F5305C">
      <w:pPr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在单位或者住宅区的消防车通道出入口路面，按照消防车通道净宽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施划禁停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标线，标线为黄色网状实线，外边框线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宽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厘米，内部网格线宽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厘米，内部网格线与外边框夹角</w:t>
      </w:r>
      <w:r>
        <w:rPr>
          <w:rFonts w:ascii="Times New Roman" w:eastAsia="方正仿宋_GBK" w:hAnsi="Times New Roman"/>
          <w:sz w:val="32"/>
          <w:szCs w:val="32"/>
        </w:rPr>
        <w:t>45</w:t>
      </w:r>
      <w:r>
        <w:rPr>
          <w:rFonts w:ascii="Times New Roman" w:eastAsia="方正仿宋_GBK" w:hAnsi="Times New Roman" w:hint="eastAsia"/>
          <w:sz w:val="32"/>
          <w:szCs w:val="32"/>
        </w:rPr>
        <w:t>度，标线中央位置沿行车方向标注内容为“消防车道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禁止占用”的警示字样（示例见图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）；同时在消防车通道两侧设置醒目的警示牌（示例见图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），提示严禁占用消防车道，违者将承担相应法律责任等内容。</w:t>
      </w:r>
    </w:p>
    <w:p w:rsidR="00F5305C" w:rsidRDefault="00F5305C" w:rsidP="00F5305C">
      <w:pPr>
        <w:snapToGrid w:val="0"/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166370</wp:posOffset>
            </wp:positionV>
            <wp:extent cx="2234565" cy="2534920"/>
            <wp:effectExtent l="19050" t="0" r="0" b="0"/>
            <wp:wrapNone/>
            <wp:docPr id="3" name="图片 2" descr="说明: mmexport157667182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mmexport15766718241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53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05C" w:rsidRDefault="00F5305C" w:rsidP="00F5305C">
      <w:pPr>
        <w:spacing w:line="600" w:lineRule="exact"/>
        <w:ind w:firstLineChars="200" w:firstLine="640"/>
        <w:rPr>
          <w:rFonts w:eastAsia="方正仿宋_GBK" w:hint="eastAsia"/>
          <w:sz w:val="32"/>
          <w:szCs w:val="32"/>
        </w:rPr>
      </w:pPr>
    </w:p>
    <w:p w:rsidR="00F5305C" w:rsidRDefault="00F5305C" w:rsidP="00F5305C">
      <w:pPr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F5305C" w:rsidRDefault="00F5305C" w:rsidP="00F5305C">
      <w:pPr>
        <w:spacing w:after="120" w:line="500" w:lineRule="exact"/>
        <w:rPr>
          <w:rFonts w:eastAsia="仿宋_GB2312"/>
          <w:sz w:val="32"/>
          <w:szCs w:val="32"/>
        </w:rPr>
      </w:pPr>
    </w:p>
    <w:p w:rsidR="00F5305C" w:rsidRDefault="00F5305C" w:rsidP="00F5305C">
      <w:pPr>
        <w:spacing w:after="120" w:line="500" w:lineRule="exact"/>
        <w:rPr>
          <w:szCs w:val="24"/>
        </w:rPr>
      </w:pPr>
    </w:p>
    <w:p w:rsidR="00F5305C" w:rsidRDefault="00F5305C" w:rsidP="00F5305C">
      <w:pPr>
        <w:spacing w:after="120" w:line="500" w:lineRule="exact"/>
      </w:pPr>
    </w:p>
    <w:p w:rsidR="00F5305C" w:rsidRDefault="00F5305C" w:rsidP="00F5305C">
      <w:pPr>
        <w:spacing w:after="120" w:line="500" w:lineRule="exact"/>
      </w:pPr>
    </w:p>
    <w:p w:rsidR="00F5305C" w:rsidRDefault="00F5305C" w:rsidP="00F5305C">
      <w:pPr>
        <w:spacing w:after="120" w:line="50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图2：消防车通道出入口禁停标线及路面警示标志示例</w:t>
      </w:r>
    </w:p>
    <w:p w:rsidR="00F5305C" w:rsidRDefault="00F5305C" w:rsidP="00F5305C">
      <w:pPr>
        <w:spacing w:line="600" w:lineRule="exact"/>
        <w:ind w:firstLineChars="200" w:firstLine="420"/>
        <w:rPr>
          <w:rFonts w:eastAsia="方正仿宋_GBK" w:cs="Times New Roman" w:hint="eastAsia"/>
          <w:sz w:val="32"/>
          <w:szCs w:val="32"/>
        </w:rPr>
      </w:pPr>
      <w:r>
        <w:rPr>
          <w:rFonts w:cs="Times New Roman" w:hint="eastAsia"/>
          <w:noProof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-47625</wp:posOffset>
            </wp:positionV>
            <wp:extent cx="2730500" cy="1609725"/>
            <wp:effectExtent l="1905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05C" w:rsidRDefault="00F5305C" w:rsidP="00F530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F5305C" w:rsidRDefault="00F5305C" w:rsidP="00F530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F5305C" w:rsidRDefault="00F5305C" w:rsidP="00F5305C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:rsidR="00F5305C" w:rsidRDefault="00F5305C" w:rsidP="00F5305C">
      <w:pPr>
        <w:spacing w:after="120" w:line="500" w:lineRule="exact"/>
        <w:jc w:val="center"/>
        <w:rPr>
          <w:szCs w:val="24"/>
        </w:rPr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：消防车通道禁止占用警示牌示例</w:t>
      </w:r>
    </w:p>
    <w:p w:rsidR="00F5305C" w:rsidRDefault="00F5305C" w:rsidP="00F5305C">
      <w:pPr>
        <w:snapToGrid w:val="0"/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用于消防车通道标识标线的涂料应满足《城市道路交通标志和标线设置规范》（</w:t>
      </w:r>
      <w:r>
        <w:rPr>
          <w:rFonts w:ascii="Times New Roman" w:eastAsia="方正仿宋_GBK" w:hAnsi="Times New Roman"/>
          <w:sz w:val="32"/>
          <w:szCs w:val="32"/>
        </w:rPr>
        <w:t>GB51038--2015</w:t>
      </w:r>
      <w:r>
        <w:rPr>
          <w:rFonts w:ascii="Times New Roman" w:eastAsia="方正仿宋_GBK" w:hAnsi="Times New Roman" w:hint="eastAsia"/>
          <w:sz w:val="32"/>
          <w:szCs w:val="32"/>
        </w:rPr>
        <w:t>）要求，可选用热熔型、双组份等标线种类，并严格按照产品说明书施工。</w:t>
      </w:r>
    </w:p>
    <w:p w:rsidR="00374716" w:rsidRPr="00F5305C" w:rsidRDefault="00374716"/>
    <w:sectPr w:rsidR="00374716" w:rsidRPr="00F5305C" w:rsidSect="0037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5305C"/>
    <w:rsid w:val="00374716"/>
    <w:rsid w:val="00F5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305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uiPriority w:val="99"/>
    <w:semiHidden/>
    <w:unhideWhenUsed/>
    <w:rsid w:val="00F5305C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F5305C"/>
    <w:rPr>
      <w:rFonts w:ascii="Calibri" w:eastAsia="宋体" w:hAnsi="Calibri" w:cs="Calibri"/>
      <w:szCs w:val="21"/>
    </w:rPr>
  </w:style>
  <w:style w:type="paragraph" w:styleId="2">
    <w:name w:val="Body Text First Indent 2"/>
    <w:basedOn w:val="a4"/>
    <w:link w:val="2Char"/>
    <w:uiPriority w:val="99"/>
    <w:unhideWhenUsed/>
    <w:rsid w:val="00F5305C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sid w:val="00F5305C"/>
    <w:rPr>
      <w:rFonts w:ascii="Times New Roman" w:hAnsi="Times New Roman" w:cs="Times New Roman"/>
      <w:szCs w:val="24"/>
    </w:rPr>
  </w:style>
  <w:style w:type="paragraph" w:styleId="a0">
    <w:name w:val="Salutation"/>
    <w:basedOn w:val="a"/>
    <w:next w:val="a"/>
    <w:link w:val="Char0"/>
    <w:uiPriority w:val="99"/>
    <w:semiHidden/>
    <w:unhideWhenUsed/>
    <w:rsid w:val="00F5305C"/>
  </w:style>
  <w:style w:type="character" w:customStyle="1" w:styleId="Char0">
    <w:name w:val="称呼 Char"/>
    <w:basedOn w:val="a1"/>
    <w:link w:val="a0"/>
    <w:uiPriority w:val="99"/>
    <w:semiHidden/>
    <w:rsid w:val="00F5305C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364</Characters>
  <Application>Microsoft Office Word</Application>
  <DocSecurity>0</DocSecurity>
  <Lines>26</Lines>
  <Paragraphs>39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2022-11-10T01:50:00Z</dcterms:created>
  <dcterms:modified xsi:type="dcterms:W3CDTF">2022-11-10T01:51:00Z</dcterms:modified>
</cp:coreProperties>
</file>